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2967" w14:textId="77777777" w:rsidR="00B213DB" w:rsidRPr="00AE167A" w:rsidRDefault="00B213DB" w:rsidP="00B213DB">
      <w:pPr>
        <w:tabs>
          <w:tab w:val="left" w:pos="1170"/>
        </w:tabs>
        <w:jc w:val="center"/>
        <w:rPr>
          <w:rFonts w:ascii="Malgun Gothic" w:eastAsia="Malgun Gothic" w:hAnsi="Malgun Gothic" w:cs="Times New Roman"/>
          <w:b/>
          <w:bCs/>
          <w:i/>
          <w:iCs/>
          <w:sz w:val="56"/>
          <w:szCs w:val="56"/>
        </w:rPr>
      </w:pPr>
      <w:bookmarkStart w:id="0" w:name="_Hlk195256948"/>
      <w:bookmarkEnd w:id="0"/>
      <w:r w:rsidRPr="00AE167A">
        <w:rPr>
          <w:rFonts w:ascii="Malgun Gothic" w:eastAsia="Malgun Gothic" w:hAnsi="Malgun Gothic" w:cs="Times New Roman"/>
          <w:b/>
          <w:bCs/>
          <w:i/>
          <w:iCs/>
          <w:sz w:val="56"/>
          <w:szCs w:val="56"/>
        </w:rPr>
        <w:t>“El Quijote en el museo”</w:t>
      </w:r>
    </w:p>
    <w:p w14:paraId="5CA6E524" w14:textId="12DEB062" w:rsidR="00A170BC" w:rsidRDefault="00AE167A">
      <w:r>
        <w:rPr>
          <w:noProof/>
        </w:rPr>
        <w:drawing>
          <wp:anchor distT="0" distB="0" distL="114300" distR="114300" simplePos="0" relativeHeight="251658240" behindDoc="0" locked="0" layoutInCell="1" allowOverlap="1" wp14:anchorId="78EA98A9" wp14:editId="43C2362C">
            <wp:simplePos x="0" y="0"/>
            <wp:positionH relativeFrom="column">
              <wp:posOffset>-3810</wp:posOffset>
            </wp:positionH>
            <wp:positionV relativeFrom="page">
              <wp:posOffset>1847850</wp:posOffset>
            </wp:positionV>
            <wp:extent cx="2085340" cy="2647950"/>
            <wp:effectExtent l="0" t="0" r="0" b="0"/>
            <wp:wrapThrough wrapText="bothSides">
              <wp:wrapPolygon edited="0">
                <wp:start x="0" y="0"/>
                <wp:lineTo x="0" y="21445"/>
                <wp:lineTo x="21311" y="21445"/>
                <wp:lineTo x="21311" y="0"/>
                <wp:lineTo x="0" y="0"/>
              </wp:wrapPolygon>
            </wp:wrapThrough>
            <wp:docPr id="115327367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264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71AD25" w14:textId="4C55CE78" w:rsidR="00B213DB" w:rsidRPr="00342EE0" w:rsidRDefault="00B213DB" w:rsidP="00B213DB">
      <w:pPr>
        <w:tabs>
          <w:tab w:val="left" w:pos="3795"/>
        </w:tabs>
        <w:rPr>
          <w:sz w:val="32"/>
          <w:szCs w:val="32"/>
        </w:rPr>
      </w:pPr>
      <w:r>
        <w:tab/>
      </w:r>
      <w:r w:rsidRPr="00342EE0">
        <w:rPr>
          <w:sz w:val="32"/>
          <w:szCs w:val="32"/>
        </w:rPr>
        <w:t>El tema del El Quijote no fue un motivo extraño en las producciones de la Fábrica Ruiz de Luna en un momento en el que confluyeron diversas circunstancias.</w:t>
      </w:r>
    </w:p>
    <w:p w14:paraId="65F8417A" w14:textId="23B13AF0" w:rsidR="00B213DB" w:rsidRPr="00342EE0" w:rsidRDefault="00B213DB" w:rsidP="00B213DB">
      <w:pPr>
        <w:tabs>
          <w:tab w:val="left" w:pos="3795"/>
        </w:tabs>
        <w:rPr>
          <w:sz w:val="32"/>
          <w:szCs w:val="32"/>
        </w:rPr>
      </w:pPr>
      <w:r w:rsidRPr="00342EE0">
        <w:rPr>
          <w:sz w:val="32"/>
          <w:szCs w:val="32"/>
        </w:rPr>
        <w:t xml:space="preserve">Entre las piezas de su antigua colección se encontraba un plato de producción talaverana del s. XVIII, decorado en azul cobalto representando la escena de </w:t>
      </w:r>
      <w:r w:rsidRPr="00342EE0">
        <w:rPr>
          <w:i/>
          <w:iCs/>
          <w:sz w:val="32"/>
          <w:szCs w:val="32"/>
        </w:rPr>
        <w:t xml:space="preserve">La penitencia de Don Quijote en Sierra Morena, </w:t>
      </w:r>
      <w:r w:rsidRPr="00342EE0">
        <w:rPr>
          <w:sz w:val="32"/>
          <w:szCs w:val="32"/>
        </w:rPr>
        <w:t>y que se convirtió en un punto de partida para la representación de las aventuras del ingenioso hidalgo en las piezas salidas del alfar.</w:t>
      </w:r>
    </w:p>
    <w:p w14:paraId="58F47855" w14:textId="6E76BEE0" w:rsidR="00B213DB" w:rsidRPr="00342EE0" w:rsidRDefault="00B213DB" w:rsidP="00B213DB">
      <w:pPr>
        <w:tabs>
          <w:tab w:val="left" w:pos="3795"/>
        </w:tabs>
        <w:rPr>
          <w:sz w:val="32"/>
          <w:szCs w:val="32"/>
        </w:rPr>
      </w:pPr>
      <w:r w:rsidRPr="00342EE0">
        <w:rPr>
          <w:sz w:val="32"/>
          <w:szCs w:val="32"/>
        </w:rPr>
        <w:t xml:space="preserve">También, en 1905, se había celebrado el tercer centenario de la publicación de El Quijote y las ilustraciones realizadas por el pintor </w:t>
      </w:r>
      <w:r w:rsidR="00400055" w:rsidRPr="00342EE0">
        <w:rPr>
          <w:sz w:val="32"/>
          <w:szCs w:val="32"/>
        </w:rPr>
        <w:t>José Jiménez de Aranda o las de Gustavo Doré de 1863, pasaron a ser modelos para la pintura cerámica.</w:t>
      </w:r>
    </w:p>
    <w:p w14:paraId="08D8FFC3" w14:textId="2ADA2EBB" w:rsidR="00400055" w:rsidRPr="00342EE0" w:rsidRDefault="00400055" w:rsidP="00B213DB">
      <w:pPr>
        <w:tabs>
          <w:tab w:val="left" w:pos="3795"/>
        </w:tabs>
        <w:rPr>
          <w:sz w:val="32"/>
          <w:szCs w:val="32"/>
        </w:rPr>
      </w:pPr>
      <w:r w:rsidRPr="00342EE0">
        <w:rPr>
          <w:sz w:val="32"/>
          <w:szCs w:val="32"/>
        </w:rPr>
        <w:t>Además, para muchos intelectuales, Don Quijote se convirtió en el héroe que debía ser resucitado.</w:t>
      </w:r>
    </w:p>
    <w:p w14:paraId="1402EE62" w14:textId="2095B972" w:rsidR="00400055" w:rsidRPr="00342EE0" w:rsidRDefault="00400055" w:rsidP="00B213DB">
      <w:pPr>
        <w:tabs>
          <w:tab w:val="left" w:pos="3795"/>
        </w:tabs>
        <w:rPr>
          <w:sz w:val="32"/>
          <w:szCs w:val="32"/>
        </w:rPr>
      </w:pPr>
      <w:r w:rsidRPr="00342EE0">
        <w:rPr>
          <w:sz w:val="32"/>
          <w:szCs w:val="32"/>
        </w:rPr>
        <w:t>En este espacio expositivo del Refectorio presentamos una muestra que refleja la importancia de la temática cervantina en varios talleres de Toledo y Talavera de la Reina.</w:t>
      </w:r>
    </w:p>
    <w:p w14:paraId="35344E1E" w14:textId="77777777" w:rsidR="00342EE0" w:rsidRDefault="00400055" w:rsidP="00B213DB">
      <w:pPr>
        <w:tabs>
          <w:tab w:val="left" w:pos="3795"/>
        </w:tabs>
        <w:rPr>
          <w:sz w:val="32"/>
          <w:szCs w:val="32"/>
        </w:rPr>
      </w:pPr>
      <w:r w:rsidRPr="00342EE0">
        <w:rPr>
          <w:sz w:val="32"/>
          <w:szCs w:val="32"/>
        </w:rPr>
        <w:t xml:space="preserve">De </w:t>
      </w:r>
      <w:r w:rsidRPr="00342EE0">
        <w:rPr>
          <w:b/>
          <w:bCs/>
          <w:sz w:val="32"/>
          <w:szCs w:val="32"/>
        </w:rPr>
        <w:t>Ntra. Sra. del Prado de Ruiz de Luna</w:t>
      </w:r>
      <w:r w:rsidRPr="00342EE0">
        <w:rPr>
          <w:sz w:val="32"/>
          <w:szCs w:val="32"/>
        </w:rPr>
        <w:t xml:space="preserve"> pertenecen tres obras. Un busto de Miguel de Cervantes de cerámica vidriada en blanco marfileño, inspirado en el retrato realizado por Juan de Jáuregui y Aguilar (1583-1641) existente en la Real Academia de la Historia desde 1911 y dos platos policromados. Uno de ellos representa la </w:t>
      </w:r>
    </w:p>
    <w:p w14:paraId="158FC3FA" w14:textId="77777777" w:rsidR="00342EE0" w:rsidRDefault="00342EE0" w:rsidP="00B213DB">
      <w:pPr>
        <w:tabs>
          <w:tab w:val="left" w:pos="3795"/>
        </w:tabs>
        <w:rPr>
          <w:sz w:val="32"/>
          <w:szCs w:val="32"/>
        </w:rPr>
      </w:pPr>
    </w:p>
    <w:p w14:paraId="7FB76BFF" w14:textId="77777777" w:rsidR="00342EE0" w:rsidRDefault="00342EE0" w:rsidP="00B213DB">
      <w:pPr>
        <w:tabs>
          <w:tab w:val="left" w:pos="3795"/>
        </w:tabs>
        <w:rPr>
          <w:sz w:val="32"/>
          <w:szCs w:val="32"/>
        </w:rPr>
      </w:pPr>
    </w:p>
    <w:p w14:paraId="1AC940A5" w14:textId="3AB71D2F" w:rsidR="00400055" w:rsidRPr="00342EE0" w:rsidRDefault="00400055" w:rsidP="00B213DB">
      <w:pPr>
        <w:tabs>
          <w:tab w:val="left" w:pos="3795"/>
        </w:tabs>
        <w:rPr>
          <w:sz w:val="32"/>
          <w:szCs w:val="32"/>
        </w:rPr>
      </w:pPr>
      <w:r w:rsidRPr="00342EE0">
        <w:rPr>
          <w:sz w:val="32"/>
          <w:szCs w:val="32"/>
        </w:rPr>
        <w:t>caída de D. Quijote tras su lucha contra los molinos y un segundo en el que se refleja el emblema de los libros de caballerías atravesado por una espada. Sobre él, se posa una lechuza, símbolo de la sabiduría y el ingenio, y que corresponde con el nº de pieza 464 del catálogo nº2 de la Fábrica.</w:t>
      </w:r>
    </w:p>
    <w:p w14:paraId="6C3E38A3" w14:textId="7487CCBC" w:rsidR="00400055" w:rsidRPr="00342EE0" w:rsidRDefault="00AE167A" w:rsidP="00B213DB">
      <w:pPr>
        <w:tabs>
          <w:tab w:val="left" w:pos="3795"/>
        </w:tabs>
        <w:rPr>
          <w:sz w:val="32"/>
          <w:szCs w:val="32"/>
        </w:rPr>
      </w:pPr>
      <w:r w:rsidRPr="00342EE0">
        <w:rPr>
          <w:sz w:val="32"/>
          <w:szCs w:val="32"/>
        </w:rPr>
        <w:t xml:space="preserve">A </w:t>
      </w:r>
      <w:r w:rsidRPr="00342EE0">
        <w:rPr>
          <w:b/>
          <w:bCs/>
          <w:sz w:val="32"/>
          <w:szCs w:val="32"/>
        </w:rPr>
        <w:t>Sebastián Aguado Portillo</w:t>
      </w:r>
      <w:r w:rsidRPr="00342EE0">
        <w:rPr>
          <w:sz w:val="32"/>
          <w:szCs w:val="32"/>
        </w:rPr>
        <w:t xml:space="preserve"> (1854-1933), ceramista que llevó a cabo el resurgimiento de la cerámica toledana, pertenece este pequeño jarrón de cuerpo ovoide decorado con D. Quijote y Sancho sobre sus monturas.</w:t>
      </w:r>
    </w:p>
    <w:p w14:paraId="07D2BF87" w14:textId="547F4F8F" w:rsidR="00AE167A" w:rsidRPr="00342EE0" w:rsidRDefault="00AE167A" w:rsidP="00B213DB">
      <w:pPr>
        <w:tabs>
          <w:tab w:val="left" w:pos="3795"/>
        </w:tabs>
        <w:rPr>
          <w:sz w:val="32"/>
          <w:szCs w:val="32"/>
        </w:rPr>
      </w:pPr>
      <w:r w:rsidRPr="00342EE0">
        <w:rPr>
          <w:sz w:val="32"/>
          <w:szCs w:val="32"/>
        </w:rPr>
        <w:t xml:space="preserve">De </w:t>
      </w:r>
      <w:r w:rsidRPr="00342EE0">
        <w:rPr>
          <w:b/>
          <w:bCs/>
          <w:sz w:val="32"/>
          <w:szCs w:val="32"/>
        </w:rPr>
        <w:t>Niveiro y Elidio Sánchez Sosa (SASO)</w:t>
      </w:r>
      <w:r w:rsidRPr="00342EE0">
        <w:rPr>
          <w:sz w:val="32"/>
          <w:szCs w:val="32"/>
        </w:rPr>
        <w:t xml:space="preserve"> también presentamos </w:t>
      </w:r>
      <w:r w:rsidR="00EE3376">
        <w:rPr>
          <w:sz w:val="32"/>
          <w:szCs w:val="32"/>
        </w:rPr>
        <w:t>sendos</w:t>
      </w:r>
      <w:r w:rsidRPr="00342EE0">
        <w:rPr>
          <w:sz w:val="32"/>
          <w:szCs w:val="32"/>
        </w:rPr>
        <w:t xml:space="preserve"> platos. El primero de ellos está inspirado en un grabado de José Jiménez de Aranda, y SASO nos transporta al episodio “</w:t>
      </w:r>
      <w:r w:rsidRPr="00342EE0">
        <w:rPr>
          <w:i/>
          <w:iCs/>
          <w:sz w:val="32"/>
          <w:szCs w:val="32"/>
        </w:rPr>
        <w:t>donde se apunta la aventura del rebuzno y de la graciosa del tirititero con las memorables adivinanzas del mono adivino</w:t>
      </w:r>
      <w:r w:rsidRPr="00342EE0">
        <w:rPr>
          <w:sz w:val="32"/>
          <w:szCs w:val="32"/>
        </w:rPr>
        <w:t>” (II, Cap. XXV)</w:t>
      </w:r>
    </w:p>
    <w:p w14:paraId="4A9D64D1" w14:textId="545F79BE" w:rsidR="00AE167A" w:rsidRPr="00342EE0" w:rsidRDefault="00AE167A" w:rsidP="00B213DB">
      <w:pPr>
        <w:tabs>
          <w:tab w:val="left" w:pos="3795"/>
        </w:tabs>
        <w:rPr>
          <w:sz w:val="32"/>
          <w:szCs w:val="32"/>
        </w:rPr>
      </w:pPr>
      <w:r w:rsidRPr="00342EE0">
        <w:rPr>
          <w:sz w:val="32"/>
          <w:szCs w:val="32"/>
        </w:rPr>
        <w:t xml:space="preserve">De </w:t>
      </w:r>
      <w:r w:rsidRPr="00342EE0">
        <w:rPr>
          <w:b/>
          <w:bCs/>
          <w:sz w:val="32"/>
          <w:szCs w:val="32"/>
        </w:rPr>
        <w:t>Montemayor</w:t>
      </w:r>
      <w:r w:rsidRPr="00342EE0">
        <w:rPr>
          <w:sz w:val="32"/>
          <w:szCs w:val="32"/>
        </w:rPr>
        <w:t>, un conjunto de pequeños vasitos y platillos policromados. Delicadas piezas con el tema quijotes</w:t>
      </w:r>
      <w:r w:rsidR="00342EE0">
        <w:rPr>
          <w:sz w:val="32"/>
          <w:szCs w:val="32"/>
        </w:rPr>
        <w:t>co</w:t>
      </w:r>
      <w:r w:rsidRPr="00342EE0">
        <w:rPr>
          <w:sz w:val="32"/>
          <w:szCs w:val="32"/>
        </w:rPr>
        <w:t>. En ellos destaca el uso del color rojo, de carácter modernista y no tradicional en la cerámica talaverana.</w:t>
      </w:r>
    </w:p>
    <w:p w14:paraId="4BDB8410" w14:textId="4A10366C" w:rsidR="00AE167A" w:rsidRPr="00342EE0" w:rsidRDefault="00AE167A" w:rsidP="00B213DB">
      <w:pPr>
        <w:tabs>
          <w:tab w:val="left" w:pos="3795"/>
        </w:tabs>
        <w:rPr>
          <w:sz w:val="32"/>
          <w:szCs w:val="32"/>
        </w:rPr>
      </w:pPr>
      <w:r w:rsidRPr="00342EE0">
        <w:rPr>
          <w:sz w:val="32"/>
          <w:szCs w:val="32"/>
        </w:rPr>
        <w:t>Completa nuestra muestra un abanico de varillaje de madera y país decorado con la orla de la Serie Renacentista de Talavera y un óvalo central con Don Quijote y Sancho Panza</w:t>
      </w:r>
      <w:r w:rsidR="00342EE0">
        <w:rPr>
          <w:sz w:val="32"/>
          <w:szCs w:val="32"/>
        </w:rPr>
        <w:t>,</w:t>
      </w:r>
      <w:r w:rsidRPr="00342EE0">
        <w:rPr>
          <w:sz w:val="32"/>
          <w:szCs w:val="32"/>
        </w:rPr>
        <w:t xml:space="preserve"> cabalgando por un paisaje de molinos de viento, pintado por </w:t>
      </w:r>
      <w:r w:rsidRPr="00342EE0">
        <w:rPr>
          <w:b/>
          <w:bCs/>
          <w:sz w:val="32"/>
          <w:szCs w:val="32"/>
        </w:rPr>
        <w:t>Rafael García Bodas</w:t>
      </w:r>
      <w:r w:rsidRPr="00342EE0">
        <w:rPr>
          <w:sz w:val="32"/>
          <w:szCs w:val="32"/>
        </w:rPr>
        <w:t xml:space="preserve"> y donado al Museo en el año 2004.</w:t>
      </w:r>
    </w:p>
    <w:p w14:paraId="79B00F55" w14:textId="77777777" w:rsidR="00B213DB" w:rsidRPr="00342EE0" w:rsidRDefault="00B213DB" w:rsidP="00B213DB">
      <w:pPr>
        <w:tabs>
          <w:tab w:val="left" w:pos="3795"/>
        </w:tabs>
        <w:rPr>
          <w:sz w:val="32"/>
          <w:szCs w:val="32"/>
        </w:rPr>
      </w:pPr>
    </w:p>
    <w:p w14:paraId="294EDDEE" w14:textId="2E0BD3F7" w:rsidR="00B213DB" w:rsidRDefault="00B213DB"/>
    <w:p w14:paraId="35F287DC" w14:textId="7355175A" w:rsidR="00B213DB" w:rsidRDefault="00B213DB"/>
    <w:sectPr w:rsidR="00B213DB" w:rsidSect="00342EE0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DB"/>
    <w:rsid w:val="00342EE0"/>
    <w:rsid w:val="00400055"/>
    <w:rsid w:val="004B4AD4"/>
    <w:rsid w:val="0056681F"/>
    <w:rsid w:val="00650583"/>
    <w:rsid w:val="00A170BC"/>
    <w:rsid w:val="00AA6FBE"/>
    <w:rsid w:val="00AE167A"/>
    <w:rsid w:val="00B213DB"/>
    <w:rsid w:val="00CC3C7D"/>
    <w:rsid w:val="00E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A6B1"/>
  <w15:chartTrackingRefBased/>
  <w15:docId w15:val="{5B9091E4-6E9C-4A49-818F-E53C1907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3DB"/>
  </w:style>
  <w:style w:type="paragraph" w:styleId="Ttulo1">
    <w:name w:val="heading 1"/>
    <w:basedOn w:val="Normal"/>
    <w:next w:val="Normal"/>
    <w:link w:val="Ttulo1Car"/>
    <w:uiPriority w:val="9"/>
    <w:qFormat/>
    <w:rsid w:val="00B21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1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13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1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13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1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1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1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1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1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1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13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13D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13D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13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13D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13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13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1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1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1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1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1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13D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213D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13D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1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13D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1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Muñoz Guzmán</dc:creator>
  <cp:keywords/>
  <dc:description/>
  <cp:lastModifiedBy>Begoña Muñoz Guzmán</cp:lastModifiedBy>
  <cp:revision>2</cp:revision>
  <cp:lastPrinted>2025-04-11T08:18:00Z</cp:lastPrinted>
  <dcterms:created xsi:type="dcterms:W3CDTF">2025-04-11T07:39:00Z</dcterms:created>
  <dcterms:modified xsi:type="dcterms:W3CDTF">2025-04-14T12:27:00Z</dcterms:modified>
</cp:coreProperties>
</file>